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9BA" w:rsidRDefault="005039BA" w:rsidP="003B4680">
      <w:pPr>
        <w:rPr>
          <w:b/>
          <w:bCs/>
          <w:sz w:val="32"/>
          <w:szCs w:val="32"/>
          <w:rtl/>
        </w:rPr>
      </w:pPr>
    </w:p>
    <w:p w:rsidR="003B4680" w:rsidRPr="00837D1F" w:rsidRDefault="003B4680" w:rsidP="00837D1F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</w:pPr>
      <w:r w:rsidRPr="000E728B">
        <w:rPr>
          <w:rFonts w:ascii="Traditional Arabic" w:hAnsi="Traditional Arabic" w:cs="Traditional Arabic"/>
          <w:b/>
          <w:bCs/>
          <w:sz w:val="40"/>
          <w:szCs w:val="40"/>
          <w:rtl/>
        </w:rPr>
        <w:t>اعلان ديوان المراقبة العامة بالمملكة العربية عن تقديم</w:t>
      </w:r>
      <w:r w:rsidR="00055A06" w:rsidRPr="000E728B">
        <w:rPr>
          <w:rFonts w:ascii="Traditional Arabic" w:hAnsi="Traditional Arabic" w:cs="Traditional Arabic"/>
          <w:b/>
          <w:bCs/>
          <w:sz w:val="40"/>
          <w:szCs w:val="40"/>
          <w:rtl/>
        </w:rPr>
        <w:t>ه ل</w:t>
      </w:r>
      <w:r w:rsidRPr="000E728B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لدعم المالي </w:t>
      </w:r>
      <w:r w:rsidR="00055A06" w:rsidRPr="000E728B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في الرقابة على </w:t>
      </w:r>
      <w:r w:rsidRPr="000E728B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أهداف </w:t>
      </w:r>
      <w:r w:rsidRPr="00837D1F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  <w:t>التنمية المستدامة في الدول النامية.</w:t>
      </w:r>
    </w:p>
    <w:p w:rsidR="003B4680" w:rsidRPr="00837D1F" w:rsidRDefault="000E728B" w:rsidP="00837D1F">
      <w:pPr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6</w:t>
      </w:r>
      <w:r w:rsidR="003B4680" w:rsidRPr="00837D1F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  <w:t xml:space="preserve"> أكتوبر 2017</w:t>
      </w:r>
      <w:r w:rsidRPr="00837D1F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م،</w:t>
      </w:r>
      <w:r w:rsidRPr="00837D1F">
        <w:rPr>
          <w:color w:val="000000" w:themeColor="text1"/>
          <w:rtl/>
        </w:rPr>
        <w:t xml:space="preserve"> </w:t>
      </w:r>
      <w:r w:rsidRPr="00837D1F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  <w:t>غراتس، النمسا</w:t>
      </w:r>
    </w:p>
    <w:p w:rsidR="003B4680" w:rsidRPr="00837D1F" w:rsidRDefault="005039BA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في هذا اليوم، قام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ديوان المراقبة العامة بالمملكة العربية السعودية 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ب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توقيع 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اتفاقية </w:t>
      </w:r>
      <w:r w:rsidR="00314B77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ل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تقديم 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منحة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مالية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لدعم جهود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برنامج 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مبادرة الإنتوساي للتنمية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الموجة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ل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دعم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الرقابة على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أهداف التنمية المستدامة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،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حيث 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سيمكن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هذا الدعم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من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تعزيز عمل المبادرة في 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هذا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البرنامج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</w:t>
      </w:r>
      <w:r w:rsidR="007E4357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و</w:t>
      </w:r>
      <w:r w:rsidR="007E4357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ذلك استجابة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لطلب</w:t>
      </w:r>
      <w:r w:rsidR="000F03A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أكثر من 100 دولة في العالم. </w:t>
      </w:r>
    </w:p>
    <w:p w:rsidR="00D11315" w:rsidRPr="00837D1F" w:rsidRDefault="000F03AC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ويهدف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هذا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البرنامج إلى إجراء عمل رقابي 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ذو جودة عالية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055A0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تنفذه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الأجهزة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العليا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للرقابة 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على أهداف التنمية </w:t>
      </w:r>
      <w:r w:rsidR="000E728B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المستدامة،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كفحص</w:t>
      </w:r>
      <w:r w:rsidR="00187A9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21395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مدى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الجاهزية</w:t>
      </w:r>
      <w:r w:rsidR="0021395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لتنفيذ المبادئ</w:t>
      </w:r>
      <w:r w:rsidR="00187A9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الأساسية الواردة في رؤية 2030، 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و</w:t>
      </w:r>
      <w:r w:rsid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ي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شمل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ذلك</w:t>
      </w:r>
      <w:r w:rsidR="00D1131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"</w:t>
      </w:r>
      <w:r w:rsidR="00D1131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نهج متكامل لحكومة بأكملها 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دون أن يتخلف أحد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"</w:t>
      </w:r>
      <w:r w:rsidR="00D1131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. </w:t>
      </w:r>
    </w:p>
    <w:p w:rsidR="000F03AC" w:rsidRPr="00837D1F" w:rsidRDefault="00213950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يتضمن البرنامج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في مرحلته الحالية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أر</w:t>
      </w:r>
      <w:r w:rsidR="00CC526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بعة مجالات أساسية وهي: </w:t>
      </w:r>
      <w:r w:rsidR="00D1131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رفع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مستوى الوعي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،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إعداد دليل توجيهي خاص </w:t>
      </w:r>
      <w:r w:rsidR="00CC526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بالجاهزية الرقابية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، بوابة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الكترونيه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خاصة بالرقابة على أهداف التنمية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المستدامة ودعم </w:t>
      </w:r>
      <w:r w:rsidR="00E445A4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البرنامج الدولي لرقابة الأداء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المشتركة </w:t>
      </w:r>
      <w:r w:rsidR="00E445A4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حول </w:t>
      </w:r>
      <w:r w:rsidR="002B24C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الجاهزية الرقابية</w:t>
      </w:r>
      <w:r w:rsidR="00E445A4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إعداد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ملخص 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بالنتائج الرقابية للعمليات التي جرى تنفيذها. </w:t>
      </w:r>
    </w:p>
    <w:p w:rsidR="00213950" w:rsidRPr="00837D1F" w:rsidRDefault="00D11315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وقد </w:t>
      </w:r>
      <w:r w:rsidR="0021395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بدأ تنفيذ البرنامج في 40 جهاز رق</w:t>
      </w:r>
      <w:r w:rsidR="00764FBE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ابي في الدول النامية، وتزايد الطلب عليه من أكثر من 100 جهاز رقابي في جميع أقاليم دول العالم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،</w:t>
      </w:r>
      <w:r w:rsidR="00764FBE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وسيتم تنفيذه باللغة الإنجليزية والاسبانية والعربية والفرنسية. </w:t>
      </w:r>
    </w:p>
    <w:p w:rsidR="00764FBE" w:rsidRPr="00837D1F" w:rsidRDefault="00764FBE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المملكة العربية السعودية،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ممثله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ب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ديوان المراقبة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العامة ملتزمة ب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دعم تطبيق أهداف التنمية المستدامة داخل المملكة وخارجها، من أجل القضاء على الفقر وضمان التنمية المستدامة. </w:t>
      </w:r>
      <w:r w:rsidR="00D1131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ويؤد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ي الديوان بذلك دوراً ريادياً يشجع من خلال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ه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مجتمع الإنتوساي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والأجهزة العليا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</w:t>
      </w:r>
      <w:r w:rsid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للرقابة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في أن يكون لهم دور بارز في سبيل تحقيق هذا اله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د</w:t>
      </w:r>
      <w:r w:rsidR="002D63B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ف النبيل. </w:t>
      </w:r>
    </w:p>
    <w:p w:rsidR="00353F3D" w:rsidRPr="00837D1F" w:rsidRDefault="00764FBE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ويشكل البرنامج شراكة ما بين مبادرة الإنتوساي ولجنة الإنتوساي لتقاسم المعرفة بهدف الاسهام في </w:t>
      </w:r>
      <w:r w:rsidR="0024489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تطبيق الأولوية الشاملة الثانية من الخطة الاستراتيجية للإنتوساي. </w:t>
      </w:r>
      <w:r w:rsidR="00836200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كما قامت المبادرة بتكوين </w:t>
      </w:r>
      <w:r w:rsidR="00311EB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شراكات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على نطاق واسع مع </w:t>
      </w:r>
      <w:r w:rsidR="00836200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الأجهزة العلي</w:t>
      </w:r>
      <w:r w:rsidR="00836200" w:rsidRPr="00837D1F">
        <w:rPr>
          <w:rFonts w:ascii="Traditional Arabic" w:hAnsi="Traditional Arabic" w:cs="Traditional Arabic" w:hint="eastAsia"/>
          <w:color w:val="000000" w:themeColor="text1"/>
          <w:sz w:val="40"/>
          <w:szCs w:val="40"/>
          <w:rtl/>
        </w:rPr>
        <w:t>ا</w:t>
      </w:r>
      <w:r w:rsidR="00836200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للرقابة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،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وإدارة الأمم المتحدة للشؤون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</w:rPr>
        <w:t xml:space="preserve"> 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الاقتصادية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</w:rPr>
        <w:t xml:space="preserve"> 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والاجتماعية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،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وأقاليم الإنتوساي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،</w:t>
      </w:r>
      <w:r w:rsidR="00CB40CB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لدعم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دور الأجهزة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العليا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6C2AD6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للرقابة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836200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في الرقابة على</w:t>
      </w:r>
      <w:r w:rsidR="00C33A8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أهداف التنمية المستدامة</w:t>
      </w:r>
      <w:r w:rsidR="00311EB0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، </w:t>
      </w:r>
      <w:r w:rsidR="00836200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كما 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أنشئت شركات مع مبادرات دولية أخرى </w:t>
      </w:r>
      <w:r w:rsidR="00353F3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من بينها شراكة الموازنة الدولية. </w:t>
      </w:r>
    </w:p>
    <w:p w:rsidR="00353F3D" w:rsidRPr="00837D1F" w:rsidRDefault="00353F3D" w:rsidP="00837D1F">
      <w:pPr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  <w:t xml:space="preserve">خلفية الموضوع: </w:t>
      </w:r>
    </w:p>
    <w:p w:rsidR="00DC6085" w:rsidRPr="00837D1F" w:rsidRDefault="007E4357" w:rsidP="007E4357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أهداف التنمية المستدامة والمعروفة رسميا "</w:t>
      </w:r>
      <w:r w:rsidR="00867E31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تحويل عالمنا:</w:t>
      </w:r>
      <w:r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</w:t>
      </w:r>
      <w:r w:rsidR="00DC608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جدول أعمال 2030 للتنمية المستدامة</w:t>
      </w:r>
      <w:r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7443E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"</w:t>
      </w:r>
      <w:r w:rsidR="00DC608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هي الأهداف العالمية الجديدة التي تعقب الأهداف الإنمائية للألفية</w:t>
      </w:r>
      <w:r w:rsidR="007443E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. </w:t>
      </w:r>
    </w:p>
    <w:p w:rsidR="007443E5" w:rsidRPr="00837D1F" w:rsidRDefault="00867E31" w:rsidP="00867E31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تمثل هذه الأهداف الطموحة </w:t>
      </w:r>
      <w:r w:rsidR="00E746D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وطويلة </w:t>
      </w:r>
      <w:r w:rsidR="00E746D3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الأجل</w:t>
      </w:r>
      <w:r w:rsidR="007443E5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مجموعة من القضايا الحيوية </w:t>
      </w:r>
      <w:r w:rsidR="005144D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تتخلص في </w:t>
      </w:r>
      <w:r w:rsidR="00C33A8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17 هدف </w:t>
      </w:r>
      <w:r w:rsidR="00584BD1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من بينها </w:t>
      </w:r>
      <w:r w:rsidR="006D433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القضاء على الفقر والجوع، وتحسين الصحة والتعليم، </w:t>
      </w:r>
      <w:r w:rsidR="005144D6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وجعل المدن أكثر استدامة ومكافحة التغير المناخي وحماية المحيطات والغابات. </w:t>
      </w:r>
      <w:r w:rsidR="0049282F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وقد وضعت الأمم المتحدة بالشراكة مع 193 بلداً عضواً والعديد من مجموعات المجتمع المدني </w:t>
      </w:r>
      <w:r w:rsidR="00276204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أهداف التنمية المستدامة. </w:t>
      </w:r>
    </w:p>
    <w:p w:rsidR="00E1291D" w:rsidRPr="00837D1F" w:rsidRDefault="006D4336" w:rsidP="00837D1F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يمثل</w:t>
      </w:r>
      <w:r w:rsidR="00751C74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ديو</w:t>
      </w:r>
      <w:r w:rsidR="00C33A8C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ن المراقبة العامة بالمملكة العربية أعلى سلطة رقابية، 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وهو منوط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B07C82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بالرقابة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على المال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7850A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لعام ورفع التقارير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بشأنه</w:t>
      </w:r>
      <w:r w:rsidR="00F65CE3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، 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والرقابة على كفاءة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أداء</w:t>
      </w:r>
      <w:r w:rsidR="00E1291D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البرامج الحكومية وتقييم فعاليتها. ويلعب دوراً رئيسياً في دعم تطبيق أهداف التنمية المستدامة ومتابعة تنفيذها في المملكة. </w:t>
      </w:r>
    </w:p>
    <w:p w:rsidR="002C0C08" w:rsidRPr="00837D1F" w:rsidRDefault="00A16EC0" w:rsidP="00F1640E">
      <w:pPr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</w:pP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وتسعى مبادرة تنمية الإنتوساي إلى دعم الأجهزة العليا للرقابة في الدول النامية بهدف تعزيز قدراتها وأداءئها</w:t>
      </w:r>
      <w:r w:rsidR="00837D1F" w:rsidRPr="00837D1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،</w:t>
      </w:r>
      <w:r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وقد 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أصبحت مؤسسة طبقاً للقان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ون النرويجي</w:t>
      </w:r>
      <w:r w:rsidR="00E746D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تستمد </w:t>
      </w:r>
      <w:r w:rsidR="001F785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صلاحياتها 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من المنظمة الدولية للأجهزة العليا للرقابة المالية العامة والمحاسبة (الإنتوساي). وتقدم المبادرة دعماً من خلال </w:t>
      </w:r>
      <w:r w:rsidR="00B07C82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لمبادرات الدولية والإقليمية والقطرية بناءً على الاحتياجات </w:t>
      </w:r>
      <w:r w:rsidR="00E746D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لكل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جهاز رقابي</w:t>
      </w:r>
      <w:r w:rsidR="00E746D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،</w:t>
      </w:r>
      <w:r w:rsidR="005039BA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</w:t>
      </w:r>
      <w:r w:rsidR="002C0C0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وبدأت مبادرة الإنتوساي للتنمية في دعم</w:t>
      </w:r>
      <w:r w:rsidR="00F1640E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 دور</w:t>
      </w:r>
      <w:r w:rsidR="002C0C0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 الأجهزة الرقابية </w:t>
      </w:r>
      <w:r w:rsidR="00F1640E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 xml:space="preserve">في </w:t>
      </w:r>
      <w:r w:rsidR="002C0C0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>الرقابة على أهداف التنمية المستدامة في 2016</w:t>
      </w:r>
      <w:r w:rsidR="00E746D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</w:rPr>
        <w:t>م</w:t>
      </w:r>
      <w:r w:rsidR="002C0C08" w:rsidRPr="00837D1F">
        <w:rPr>
          <w:rFonts w:ascii="Traditional Arabic" w:hAnsi="Traditional Arabic" w:cs="Traditional Arabic"/>
          <w:color w:val="000000" w:themeColor="text1"/>
          <w:sz w:val="40"/>
          <w:szCs w:val="40"/>
          <w:rtl/>
        </w:rPr>
        <w:t xml:space="preserve">. ولمزيد من المعلومات، يرجى الذهاب الدخول الروابط التالية: </w:t>
      </w:r>
    </w:p>
    <w:p w:rsidR="002C0C08" w:rsidRPr="003101EA" w:rsidRDefault="002C0C08" w:rsidP="003101EA">
      <w:pPr>
        <w:bidi w:val="0"/>
        <w:spacing w:after="0" w:line="204" w:lineRule="auto"/>
        <w:contextualSpacing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•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</w:rPr>
        <w:t>SDGs https://sustainabledevelopment.un.org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/</w:t>
      </w:r>
    </w:p>
    <w:p w:rsidR="002C0C08" w:rsidRPr="003101EA" w:rsidRDefault="002C0C08" w:rsidP="003101EA">
      <w:pPr>
        <w:bidi w:val="0"/>
        <w:spacing w:after="0" w:line="204" w:lineRule="auto"/>
        <w:contextualSpacing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•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</w:rPr>
        <w:t>General Audit Bureau, Kingdom of Saudi Arabia http://www.gab.gov.sa/en/Pages/default.aspx</w:t>
      </w:r>
    </w:p>
    <w:p w:rsidR="002C0C08" w:rsidRPr="003101EA" w:rsidRDefault="002C0C08" w:rsidP="003101EA">
      <w:pPr>
        <w:bidi w:val="0"/>
        <w:spacing w:after="0" w:line="204" w:lineRule="auto"/>
        <w:contextualSpacing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•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</w:rPr>
        <w:t>INTOSAI Development Initiative http://www.idi.no/en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/</w:t>
      </w:r>
    </w:p>
    <w:p w:rsidR="00E1291D" w:rsidRPr="003101EA" w:rsidRDefault="002C0C08" w:rsidP="003101EA">
      <w:pPr>
        <w:bidi w:val="0"/>
        <w:spacing w:after="0" w:line="204" w:lineRule="auto"/>
        <w:contextualSpacing/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</w:pP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•</w:t>
      </w:r>
      <w:r w:rsidRPr="003101EA">
        <w:rPr>
          <w:rFonts w:ascii="Simplified Arabic" w:hAnsi="Simplified Arabic" w:cs="Simplified Arabic"/>
          <w:color w:val="000000" w:themeColor="text1"/>
          <w:sz w:val="24"/>
          <w:szCs w:val="24"/>
        </w:rPr>
        <w:t>Auditing the Sustainable Development Goals programme http://www.idi.no/en/idi-cpd/auditing-sustainable-development-goals-programme</w:t>
      </w:r>
    </w:p>
    <w:sectPr w:rsidR="00E1291D" w:rsidRPr="003101EA" w:rsidSect="005039BA">
      <w:footerReference w:type="default" r:id="rId6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741" w:rsidRDefault="00385741" w:rsidP="00F65CE3">
      <w:pPr>
        <w:spacing w:after="0" w:line="240" w:lineRule="auto"/>
      </w:pPr>
      <w:r>
        <w:separator/>
      </w:r>
    </w:p>
  </w:endnote>
  <w:endnote w:type="continuationSeparator" w:id="0">
    <w:p w:rsidR="00385741" w:rsidRDefault="00385741" w:rsidP="00F65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895587659"/>
      <w:docPartObj>
        <w:docPartGallery w:val="Page Numbers (Bottom of Page)"/>
        <w:docPartUnique/>
      </w:docPartObj>
    </w:sdtPr>
    <w:sdtEndPr/>
    <w:sdtContent>
      <w:p w:rsidR="00F65CE3" w:rsidRDefault="00F65C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EA2" w:rsidRPr="00792EA2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F65CE3" w:rsidRDefault="00F65CE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741" w:rsidRDefault="00385741" w:rsidP="00F65CE3">
      <w:pPr>
        <w:spacing w:after="0" w:line="240" w:lineRule="auto"/>
      </w:pPr>
      <w:r>
        <w:separator/>
      </w:r>
    </w:p>
  </w:footnote>
  <w:footnote w:type="continuationSeparator" w:id="0">
    <w:p w:rsidR="00385741" w:rsidRDefault="00385741" w:rsidP="00F65C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80"/>
    <w:rsid w:val="00022F32"/>
    <w:rsid w:val="00055A06"/>
    <w:rsid w:val="00055EBB"/>
    <w:rsid w:val="00094E72"/>
    <w:rsid w:val="000E728B"/>
    <w:rsid w:val="000F03AC"/>
    <w:rsid w:val="00187A93"/>
    <w:rsid w:val="001F7858"/>
    <w:rsid w:val="00213950"/>
    <w:rsid w:val="0024489A"/>
    <w:rsid w:val="00276204"/>
    <w:rsid w:val="002B24C0"/>
    <w:rsid w:val="002C0C08"/>
    <w:rsid w:val="002D63BC"/>
    <w:rsid w:val="003101EA"/>
    <w:rsid w:val="00311EB0"/>
    <w:rsid w:val="00314B77"/>
    <w:rsid w:val="00353F3D"/>
    <w:rsid w:val="00376070"/>
    <w:rsid w:val="00385741"/>
    <w:rsid w:val="003B4680"/>
    <w:rsid w:val="003C20F1"/>
    <w:rsid w:val="0049282F"/>
    <w:rsid w:val="004F7F2B"/>
    <w:rsid w:val="005039BA"/>
    <w:rsid w:val="005144D6"/>
    <w:rsid w:val="00515956"/>
    <w:rsid w:val="00584BD1"/>
    <w:rsid w:val="006766A9"/>
    <w:rsid w:val="006C2AD6"/>
    <w:rsid w:val="006D4336"/>
    <w:rsid w:val="00716629"/>
    <w:rsid w:val="00733028"/>
    <w:rsid w:val="007443E5"/>
    <w:rsid w:val="00751C74"/>
    <w:rsid w:val="00764FBE"/>
    <w:rsid w:val="007850A3"/>
    <w:rsid w:val="00792EA2"/>
    <w:rsid w:val="007E4357"/>
    <w:rsid w:val="00836200"/>
    <w:rsid w:val="00837D1F"/>
    <w:rsid w:val="00867E31"/>
    <w:rsid w:val="00974BBA"/>
    <w:rsid w:val="00983399"/>
    <w:rsid w:val="009D1A76"/>
    <w:rsid w:val="00A16EC0"/>
    <w:rsid w:val="00A43CE4"/>
    <w:rsid w:val="00B07C82"/>
    <w:rsid w:val="00B65912"/>
    <w:rsid w:val="00C33A8C"/>
    <w:rsid w:val="00CB40CB"/>
    <w:rsid w:val="00CC5263"/>
    <w:rsid w:val="00D11315"/>
    <w:rsid w:val="00D424D9"/>
    <w:rsid w:val="00D6200E"/>
    <w:rsid w:val="00DC6085"/>
    <w:rsid w:val="00E1291D"/>
    <w:rsid w:val="00E445A4"/>
    <w:rsid w:val="00E746D3"/>
    <w:rsid w:val="00F1640E"/>
    <w:rsid w:val="00F6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D27068"/>
  <w15:chartTrackingRefBased/>
  <w15:docId w15:val="{AFC2A5A0-751B-4625-9ED0-C243C571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rsid w:val="00353F3D"/>
  </w:style>
  <w:style w:type="paragraph" w:styleId="a3">
    <w:name w:val="header"/>
    <w:basedOn w:val="a"/>
    <w:link w:val="Char"/>
    <w:uiPriority w:val="99"/>
    <w:unhideWhenUsed/>
    <w:rsid w:val="00F65C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65CE3"/>
  </w:style>
  <w:style w:type="paragraph" w:styleId="a4">
    <w:name w:val="footer"/>
    <w:basedOn w:val="a"/>
    <w:link w:val="Char0"/>
    <w:uiPriority w:val="99"/>
    <w:unhideWhenUsed/>
    <w:rsid w:val="00F65C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65CE3"/>
  </w:style>
  <w:style w:type="paragraph" w:styleId="a5">
    <w:name w:val="Balloon Text"/>
    <w:basedOn w:val="a"/>
    <w:link w:val="Char1"/>
    <w:uiPriority w:val="99"/>
    <w:semiHidden/>
    <w:unhideWhenUsed/>
    <w:rsid w:val="00837D1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837D1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GAB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هشام محمد السلوم</dc:creator>
  <cp:keywords/>
  <dc:description/>
  <cp:lastModifiedBy>سلطان بن مرزوق العتيبي</cp:lastModifiedBy>
  <cp:revision>8</cp:revision>
  <cp:lastPrinted>2017-11-19T07:58:00Z</cp:lastPrinted>
  <dcterms:created xsi:type="dcterms:W3CDTF">2017-10-24T08:50:00Z</dcterms:created>
  <dcterms:modified xsi:type="dcterms:W3CDTF">2017-11-20T07:01:00Z</dcterms:modified>
</cp:coreProperties>
</file>